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7B3D71" w14:textId="77777777" w:rsidR="00CB34F2" w:rsidRDefault="0028512C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Табела 5.2 </w:t>
      </w:r>
      <w:r>
        <w:rPr>
          <w:sz w:val="22"/>
          <w:szCs w:val="22"/>
        </w:rPr>
        <w:t xml:space="preserve">Спецификација  предмета </w:t>
      </w:r>
    </w:p>
    <w:tbl>
      <w:tblPr>
        <w:tblStyle w:val="a"/>
        <w:tblW w:w="97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2756"/>
        <w:gridCol w:w="787"/>
        <w:gridCol w:w="923"/>
        <w:gridCol w:w="495"/>
        <w:gridCol w:w="1494"/>
        <w:gridCol w:w="916"/>
        <w:gridCol w:w="789"/>
      </w:tblGrid>
      <w:tr w:rsidR="00CB34F2" w14:paraId="465091F7" w14:textId="77777777" w:rsidTr="00695CBF">
        <w:tc>
          <w:tcPr>
            <w:tcW w:w="9719" w:type="dxa"/>
            <w:gridSpan w:val="8"/>
          </w:tcPr>
          <w:p w14:paraId="07F1121D" w14:textId="076EE15D" w:rsidR="00CB34F2" w:rsidRPr="00C70AFB" w:rsidRDefault="0028512C">
            <w:pPr>
              <w:jc w:val="both"/>
            </w:pPr>
            <w:r w:rsidRPr="00C70AFB">
              <w:t>Студијски програм/студијски програми</w:t>
            </w:r>
            <w:r w:rsidRPr="00C70AFB">
              <w:rPr>
                <w:b/>
              </w:rPr>
              <w:t xml:space="preserve">: </w:t>
            </w:r>
            <w:r w:rsidR="001F5E82" w:rsidRPr="00C70AFB">
              <w:rPr>
                <w:bCs/>
                <w:sz w:val="22"/>
                <w:szCs w:val="22"/>
                <w:lang w:val="sr-Cyrl-RS"/>
              </w:rPr>
              <w:t xml:space="preserve">ОАС </w:t>
            </w:r>
            <w:r w:rsidR="001F5E82" w:rsidRPr="00C70AFB">
              <w:rPr>
                <w:sz w:val="22"/>
                <w:szCs w:val="22"/>
                <w:lang w:val="sr-Cyrl-RS"/>
              </w:rPr>
              <w:t>Н</w:t>
            </w:r>
            <w:r w:rsidR="001F5E82" w:rsidRPr="00C70AFB">
              <w:rPr>
                <w:sz w:val="22"/>
                <w:szCs w:val="22"/>
              </w:rPr>
              <w:t>емачк</w:t>
            </w:r>
            <w:r w:rsidR="001F5E82" w:rsidRPr="00C70AFB">
              <w:rPr>
                <w:sz w:val="22"/>
                <w:szCs w:val="22"/>
                <w:lang w:val="sr-Cyrl-RS"/>
              </w:rPr>
              <w:t>ог</w:t>
            </w:r>
            <w:r w:rsidR="001F5E82" w:rsidRPr="00C70AFB">
              <w:rPr>
                <w:sz w:val="22"/>
                <w:szCs w:val="22"/>
              </w:rPr>
              <w:t xml:space="preserve"> језик</w:t>
            </w:r>
            <w:r w:rsidR="001F5E82" w:rsidRPr="00C70AFB">
              <w:rPr>
                <w:sz w:val="22"/>
                <w:szCs w:val="22"/>
                <w:lang w:val="sr-Cyrl-RS"/>
              </w:rPr>
              <w:t>а</w:t>
            </w:r>
            <w:r w:rsidR="001F5E82" w:rsidRPr="00C70AFB">
              <w:rPr>
                <w:sz w:val="22"/>
                <w:szCs w:val="22"/>
              </w:rPr>
              <w:t xml:space="preserve"> и књижевност</w:t>
            </w:r>
            <w:r w:rsidR="001F5E82" w:rsidRPr="00C70AFB">
              <w:rPr>
                <w:sz w:val="22"/>
                <w:szCs w:val="22"/>
                <w:lang w:val="sr-Cyrl-RS"/>
              </w:rPr>
              <w:t>и</w:t>
            </w:r>
          </w:p>
        </w:tc>
      </w:tr>
      <w:tr w:rsidR="00CB34F2" w14:paraId="186C8E39" w14:textId="77777777" w:rsidTr="00695CBF">
        <w:tc>
          <w:tcPr>
            <w:tcW w:w="9719" w:type="dxa"/>
            <w:gridSpan w:val="8"/>
          </w:tcPr>
          <w:p w14:paraId="415296B6" w14:textId="77777777" w:rsidR="00CB34F2" w:rsidRPr="00C70AFB" w:rsidRDefault="0028512C">
            <w:r w:rsidRPr="00C70AFB">
              <w:rPr>
                <w:b/>
              </w:rPr>
              <w:t>Назив предмета: Методика наставе немачког језика 2</w:t>
            </w:r>
          </w:p>
        </w:tc>
      </w:tr>
      <w:tr w:rsidR="00CB34F2" w14:paraId="2408EECE" w14:textId="77777777" w:rsidTr="00695CBF">
        <w:tc>
          <w:tcPr>
            <w:tcW w:w="9719" w:type="dxa"/>
            <w:gridSpan w:val="8"/>
          </w:tcPr>
          <w:p w14:paraId="1798ECD6" w14:textId="77777777" w:rsidR="00CB34F2" w:rsidRPr="00C70AFB" w:rsidRDefault="0028512C">
            <w:r w:rsidRPr="00C70AFB">
              <w:rPr>
                <w:b/>
              </w:rPr>
              <w:t>Наставник: Момчиловић М. Николета</w:t>
            </w:r>
          </w:p>
          <w:p w14:paraId="60C29632" w14:textId="77777777" w:rsidR="00CB34F2" w:rsidRPr="00C70AFB" w:rsidRDefault="0028512C">
            <w:r w:rsidRPr="00C70AFB">
              <w:t xml:space="preserve">Сарадник:   </w:t>
            </w:r>
            <w:r w:rsidRPr="00C70AFB">
              <w:rPr>
                <w:b/>
              </w:rPr>
              <w:t xml:space="preserve"> Стаменковић З. Катарина</w:t>
            </w:r>
          </w:p>
        </w:tc>
      </w:tr>
      <w:tr w:rsidR="00CB34F2" w14:paraId="6B8D3A77" w14:textId="77777777" w:rsidTr="00695CBF">
        <w:tc>
          <w:tcPr>
            <w:tcW w:w="9719" w:type="dxa"/>
            <w:gridSpan w:val="8"/>
          </w:tcPr>
          <w:p w14:paraId="05BE2B3B" w14:textId="77777777" w:rsidR="00CB34F2" w:rsidRDefault="0028512C">
            <w:r>
              <w:t>Статус предмета: обавезан</w:t>
            </w:r>
          </w:p>
        </w:tc>
      </w:tr>
      <w:tr w:rsidR="00CB34F2" w14:paraId="043BE3BB" w14:textId="77777777" w:rsidTr="00695CBF">
        <w:tc>
          <w:tcPr>
            <w:tcW w:w="9719" w:type="dxa"/>
            <w:gridSpan w:val="8"/>
          </w:tcPr>
          <w:p w14:paraId="2408E4BD" w14:textId="77777777" w:rsidR="00CB34F2" w:rsidRDefault="0028512C">
            <w:r>
              <w:t>Број ЕСПБ: 5</w:t>
            </w:r>
          </w:p>
        </w:tc>
      </w:tr>
      <w:tr w:rsidR="00CB34F2" w14:paraId="6B309B5B" w14:textId="77777777" w:rsidTr="00695CBF">
        <w:tc>
          <w:tcPr>
            <w:tcW w:w="9719" w:type="dxa"/>
            <w:gridSpan w:val="8"/>
          </w:tcPr>
          <w:p w14:paraId="089C31D6" w14:textId="77777777" w:rsidR="00CB34F2" w:rsidRDefault="0028512C">
            <w:pPr>
              <w:jc w:val="both"/>
            </w:pPr>
            <w:r>
              <w:t xml:space="preserve">Услов:  </w:t>
            </w:r>
          </w:p>
        </w:tc>
      </w:tr>
      <w:tr w:rsidR="00CB34F2" w14:paraId="18412982" w14:textId="77777777" w:rsidTr="00695CBF">
        <w:tc>
          <w:tcPr>
            <w:tcW w:w="9719" w:type="dxa"/>
            <w:gridSpan w:val="8"/>
          </w:tcPr>
          <w:p w14:paraId="42C4F03D" w14:textId="11253F44" w:rsidR="00CB34F2" w:rsidRDefault="0028512C">
            <w:pPr>
              <w:jc w:val="both"/>
            </w:pPr>
            <w:r>
              <w:rPr>
                <w:b/>
              </w:rPr>
              <w:t>Циљ предмета:</w:t>
            </w:r>
            <w:r>
              <w:rPr>
                <w:color w:val="0070C0"/>
              </w:rPr>
              <w:t xml:space="preserve"> </w:t>
            </w:r>
            <w:r>
              <w:t>Стицање знања о аспектима планирања наставе</w:t>
            </w:r>
            <w:r w:rsidR="00AA51A1">
              <w:rPr>
                <w:lang w:val="sr-Cyrl-RS"/>
              </w:rPr>
              <w:t xml:space="preserve"> немачког језика</w:t>
            </w:r>
            <w:r>
              <w:t>. Оспособљавање студената за планирање и припрему  наставе (примена метода и техника рада),</w:t>
            </w:r>
          </w:p>
        </w:tc>
      </w:tr>
      <w:tr w:rsidR="00CB34F2" w14:paraId="7976D96E" w14:textId="77777777" w:rsidTr="00695CBF">
        <w:tc>
          <w:tcPr>
            <w:tcW w:w="9719" w:type="dxa"/>
            <w:gridSpan w:val="8"/>
          </w:tcPr>
          <w:p w14:paraId="16E20F6F" w14:textId="25671BAF" w:rsidR="00CB34F2" w:rsidRDefault="0028512C">
            <w:pPr>
              <w:widowControl/>
              <w:jc w:val="both"/>
            </w:pPr>
            <w:r>
              <w:rPr>
                <w:b/>
              </w:rPr>
              <w:t xml:space="preserve">Исход предмета: </w:t>
            </w:r>
            <w:r>
              <w:t>Студенти поседују знања о аспектима планирања наставе, припреми часова, структури писмене припреме за час, активностима наставника. Студенти могу да одреде циљева и исход наставе, структуришу час, самостално изаберу језичку грађу, саставе вежбе и задатке за развој језичких вештина, одреде методе рада, конципирају облик  и динамику рада.  Студенти такође познају технике опсервације часа, умеју да дају и приме повратну информацију о презентацији/одржаном часу. Студенти самостално планирају, припремају и изводе наставни</w:t>
            </w:r>
            <w:r w:rsidR="001F5E82">
              <w:rPr>
                <w:lang w:val="sr-Cyrl-RS"/>
              </w:rPr>
              <w:t xml:space="preserve"> </w:t>
            </w:r>
            <w:r>
              <w:t>час.</w:t>
            </w:r>
          </w:p>
        </w:tc>
      </w:tr>
      <w:tr w:rsidR="00CB34F2" w14:paraId="7B83DC9D" w14:textId="77777777" w:rsidTr="00695CBF">
        <w:tc>
          <w:tcPr>
            <w:tcW w:w="9719" w:type="dxa"/>
            <w:gridSpan w:val="8"/>
          </w:tcPr>
          <w:p w14:paraId="5F80556F" w14:textId="160E8E72" w:rsidR="00CB34F2" w:rsidRPr="009F49C9" w:rsidRDefault="0028512C">
            <w:pPr>
              <w:widowControl/>
              <w:jc w:val="both"/>
              <w:rPr>
                <w:lang w:val="sr-Cyrl-RS"/>
              </w:rPr>
            </w:pPr>
            <w:r>
              <w:rPr>
                <w:b/>
              </w:rPr>
              <w:t xml:space="preserve">Садржај предмета:  </w:t>
            </w:r>
            <w:bookmarkStart w:id="0" w:name="_GoBack"/>
            <w:bookmarkEnd w:id="0"/>
            <w:r w:rsidRPr="00C70AFB">
              <w:rPr>
                <w:i/>
                <w:u w:val="single"/>
              </w:rPr>
              <w:t>Теоријска настава</w:t>
            </w:r>
            <w:r w:rsidRPr="00C70AFB">
              <w:t xml:space="preserve">: </w:t>
            </w:r>
            <w:r w:rsidR="000A1852" w:rsidRPr="00C70AFB">
              <w:rPr>
                <w:lang w:val="ru-RU"/>
              </w:rPr>
              <w:t xml:space="preserve">1. </w:t>
            </w:r>
            <w:r w:rsidRPr="00C70AFB">
              <w:t xml:space="preserve">Образовни стандади и планирање наставе усмерено на постизање компетенција. </w:t>
            </w:r>
            <w:r w:rsidR="000A1852" w:rsidRPr="00C70AFB">
              <w:rPr>
                <w:lang w:val="ru-RU"/>
              </w:rPr>
              <w:t xml:space="preserve"> 2. </w:t>
            </w:r>
            <w:r w:rsidRPr="00C70AFB">
              <w:t>Одређивање циљева и исхода наставе</w:t>
            </w:r>
            <w:r w:rsidR="00CA3AF0" w:rsidRPr="00C70AFB">
              <w:rPr>
                <w:lang w:val="sr-Cyrl-RS"/>
              </w:rPr>
              <w:t xml:space="preserve">, таксономија циљева </w:t>
            </w:r>
            <w:r w:rsidR="000A1852" w:rsidRPr="00C70AFB">
              <w:rPr>
                <w:lang w:val="ru-RU"/>
              </w:rPr>
              <w:t xml:space="preserve">3. </w:t>
            </w:r>
            <w:r w:rsidRPr="00C70AFB">
              <w:t xml:space="preserve">Шема планирања наставе: анализа општих и појединачних услова, анализа садржаја/теме/градива, дидактичка анализа (тема и наставни план, дидактички принципи, дидактичка редукција, циљеви, компетенције), </w:t>
            </w:r>
            <w:r w:rsidR="000A1852" w:rsidRPr="00C70AFB">
              <w:rPr>
                <w:lang w:val="ru-RU"/>
              </w:rPr>
              <w:t>4</w:t>
            </w:r>
            <w:r w:rsidR="00CA3AF0" w:rsidRPr="00C70AFB">
              <w:rPr>
                <w:lang w:val="ru-RU"/>
              </w:rPr>
              <w:t>.</w:t>
            </w:r>
            <w:r w:rsidR="000A1852" w:rsidRPr="00C70AFB">
              <w:rPr>
                <w:lang w:val="ru-RU"/>
              </w:rPr>
              <w:t xml:space="preserve"> </w:t>
            </w:r>
            <w:proofErr w:type="spellStart"/>
            <w:r w:rsidR="00ED292F" w:rsidRPr="00C70AFB">
              <w:rPr>
                <w:lang w:val="ru-RU"/>
              </w:rPr>
              <w:t>Наставне</w:t>
            </w:r>
            <w:proofErr w:type="spellEnd"/>
            <w:r w:rsidR="00ED292F" w:rsidRPr="00C70AFB">
              <w:rPr>
                <w:lang w:val="ru-RU"/>
              </w:rPr>
              <w:t xml:space="preserve"> м</w:t>
            </w:r>
            <w:r w:rsidR="00CA3AF0" w:rsidRPr="00C70AFB">
              <w:rPr>
                <w:lang w:val="ru-RU"/>
              </w:rPr>
              <w:t xml:space="preserve">етоде, </w:t>
            </w:r>
            <w:r w:rsidR="00ED292F" w:rsidRPr="00C70AFB">
              <w:rPr>
                <w:lang w:val="ru-RU"/>
              </w:rPr>
              <w:t xml:space="preserve">5. </w:t>
            </w:r>
            <w:r w:rsidR="000A1852" w:rsidRPr="00C70AFB">
              <w:rPr>
                <w:lang w:val="de-DE"/>
              </w:rPr>
              <w:t>M</w:t>
            </w:r>
            <w:r w:rsidRPr="00C70AFB">
              <w:t>етодска анализа (избор метода, концепт, социјалне форме</w:t>
            </w:r>
            <w:r>
              <w:t xml:space="preserve">, медији, фазе), </w:t>
            </w:r>
            <w:r w:rsidR="00CA3AF0">
              <w:rPr>
                <w:lang w:val="ru-RU"/>
              </w:rPr>
              <w:t>6</w:t>
            </w:r>
            <w:r w:rsidR="000A1852" w:rsidRPr="000A1852">
              <w:rPr>
                <w:lang w:val="ru-RU"/>
              </w:rPr>
              <w:t xml:space="preserve">. </w:t>
            </w:r>
            <w:r w:rsidR="000A1852">
              <w:rPr>
                <w:lang w:val="de-DE"/>
              </w:rPr>
              <w:t>T</w:t>
            </w:r>
            <w:r>
              <w:t xml:space="preserve">ок наставе, структурна скица, додаци (радни листови, табла итд). </w:t>
            </w:r>
            <w:r w:rsidR="00CA3AF0">
              <w:rPr>
                <w:lang w:val="ru-RU"/>
              </w:rPr>
              <w:t>7</w:t>
            </w:r>
            <w:r w:rsidR="000A1852" w:rsidRPr="000A1852">
              <w:rPr>
                <w:lang w:val="ru-RU"/>
              </w:rPr>
              <w:t xml:space="preserve">. </w:t>
            </w:r>
            <w:r>
              <w:t>Планирање наставе и писана припрема часа по моделу Дидактичка анализа</w:t>
            </w:r>
            <w:r w:rsidR="00CA3AF0">
              <w:rPr>
                <w:lang w:val="sr-Cyrl-RS"/>
              </w:rPr>
              <w:t xml:space="preserve"> (</w:t>
            </w:r>
            <w:r>
              <w:t>наставни циљеви, активности ученика и наставника, социјалне форме, наставни материјали, медији</w:t>
            </w:r>
            <w:r w:rsidR="00CA3AF0">
              <w:rPr>
                <w:lang w:val="sr-Cyrl-RS"/>
              </w:rPr>
              <w:t>)</w:t>
            </w:r>
            <w:r>
              <w:t xml:space="preserve">. </w:t>
            </w:r>
            <w:r w:rsidR="00CA3AF0">
              <w:rPr>
                <w:lang w:val="ru-RU"/>
              </w:rPr>
              <w:t>8</w:t>
            </w:r>
            <w:r w:rsidR="000A1852" w:rsidRPr="000A1852">
              <w:rPr>
                <w:lang w:val="ru-RU"/>
              </w:rPr>
              <w:t xml:space="preserve">. </w:t>
            </w:r>
            <w:r>
              <w:t>Улога наставника.</w:t>
            </w:r>
            <w:r w:rsidR="000A1852" w:rsidRPr="000A1852">
              <w:rPr>
                <w:lang w:val="ru-RU"/>
              </w:rPr>
              <w:t xml:space="preserve"> </w:t>
            </w:r>
            <w:r w:rsidR="00CA3AF0">
              <w:rPr>
                <w:lang w:val="ru-RU"/>
              </w:rPr>
              <w:t>9</w:t>
            </w:r>
            <w:r w:rsidR="000A1852" w:rsidRPr="000A1852">
              <w:rPr>
                <w:lang w:val="ru-RU"/>
              </w:rPr>
              <w:t>.</w:t>
            </w:r>
            <w:r>
              <w:t xml:space="preserve"> Фазе часа: увод, презентација, семантизација</w:t>
            </w:r>
            <w:r w:rsidR="0047063D">
              <w:rPr>
                <w:lang w:val="sr-Cyrl-RS"/>
              </w:rPr>
              <w:t>,</w:t>
            </w:r>
            <w:r>
              <w:t xml:space="preserve"> увежбавање</w:t>
            </w:r>
            <w:r w:rsidR="0047063D">
              <w:rPr>
                <w:lang w:val="sr-Cyrl-RS"/>
              </w:rPr>
              <w:t xml:space="preserve"> (и слободна продукција)</w:t>
            </w:r>
            <w:r>
              <w:t xml:space="preserve">. </w:t>
            </w:r>
            <w:r w:rsidR="00CA3AF0">
              <w:rPr>
                <w:lang w:val="ru-RU"/>
              </w:rPr>
              <w:t>10</w:t>
            </w:r>
            <w:r w:rsidR="000A1852" w:rsidRPr="000A1852">
              <w:rPr>
                <w:lang w:val="ru-RU"/>
              </w:rPr>
              <w:t xml:space="preserve">. </w:t>
            </w:r>
            <w:r>
              <w:t xml:space="preserve">Излагање граматике, формулисање правила, методе откривања правила. </w:t>
            </w:r>
            <w:r w:rsidR="0064098B">
              <w:rPr>
                <w:lang w:val="ru-RU"/>
              </w:rPr>
              <w:t>1</w:t>
            </w:r>
            <w:r w:rsidR="00CA3AF0">
              <w:rPr>
                <w:lang w:val="ru-RU"/>
              </w:rPr>
              <w:t>1</w:t>
            </w:r>
            <w:r w:rsidR="000A1852" w:rsidRPr="000A1852">
              <w:rPr>
                <w:lang w:val="ru-RU"/>
              </w:rPr>
              <w:t xml:space="preserve">. </w:t>
            </w:r>
            <w:r>
              <w:t xml:space="preserve">Непознате речи у настави. </w:t>
            </w:r>
            <w:r w:rsidR="000A1852" w:rsidRPr="001F5E82">
              <w:rPr>
                <w:lang w:val="ru-RU"/>
              </w:rPr>
              <w:t>1</w:t>
            </w:r>
            <w:r w:rsidR="00CA3AF0">
              <w:rPr>
                <w:lang w:val="ru-RU"/>
              </w:rPr>
              <w:t>2</w:t>
            </w:r>
            <w:r w:rsidR="000A1852" w:rsidRPr="001F5E82">
              <w:rPr>
                <w:lang w:val="ru-RU"/>
              </w:rPr>
              <w:t xml:space="preserve">. </w:t>
            </w:r>
            <w:r>
              <w:t xml:space="preserve">Домаћи задаци и њихова улога. </w:t>
            </w:r>
            <w:r w:rsidR="000A1852" w:rsidRPr="001F5E82">
              <w:rPr>
                <w:lang w:val="ru-RU"/>
              </w:rPr>
              <w:t>1</w:t>
            </w:r>
            <w:r w:rsidR="00CA3AF0">
              <w:rPr>
                <w:lang w:val="ru-RU"/>
              </w:rPr>
              <w:t>3</w:t>
            </w:r>
            <w:r w:rsidR="000A1852" w:rsidRPr="001F5E82">
              <w:rPr>
                <w:lang w:val="ru-RU"/>
              </w:rPr>
              <w:t xml:space="preserve">. </w:t>
            </w:r>
            <w:r>
              <w:t>Типови вежби.</w:t>
            </w:r>
            <w:r w:rsidR="009F49C9">
              <w:rPr>
                <w:lang w:val="sr-Cyrl-RS"/>
              </w:rPr>
              <w:t xml:space="preserve"> 14. Задаци.</w:t>
            </w:r>
          </w:p>
          <w:p w14:paraId="595A628F" w14:textId="746359E0" w:rsidR="00CA3AF0" w:rsidRPr="001062FD" w:rsidRDefault="0028512C">
            <w:pPr>
              <w:widowControl/>
              <w:jc w:val="both"/>
              <w:rPr>
                <w:color w:val="FF0000"/>
                <w:lang w:val="sr-Cyrl-RS"/>
              </w:rPr>
            </w:pPr>
            <w:r>
              <w:rPr>
                <w:i/>
                <w:u w:val="single"/>
              </w:rPr>
              <w:t>Вежбе</w:t>
            </w:r>
            <w:r>
              <w:t xml:space="preserve">: Дискусија о садржајима предавања. Припрема и писање </w:t>
            </w:r>
            <w:r w:rsidR="00CA3AF0">
              <w:rPr>
                <w:lang w:val="sr-Cyrl-RS"/>
              </w:rPr>
              <w:t xml:space="preserve">разноврсних </w:t>
            </w:r>
            <w:r>
              <w:t>припрема за часове (за рецептивне, продуктивне и интегрисане вештине</w:t>
            </w:r>
            <w:r w:rsidR="00CA3AF0">
              <w:rPr>
                <w:lang w:val="sr-Cyrl-RS"/>
              </w:rPr>
              <w:t xml:space="preserve"> и др. </w:t>
            </w:r>
            <w:r w:rsidR="001062FD">
              <w:rPr>
                <w:lang w:val="sr-Cyrl-RS"/>
              </w:rPr>
              <w:t xml:space="preserve">лингвистичке </w:t>
            </w:r>
            <w:r w:rsidR="00CA3AF0">
              <w:rPr>
                <w:lang w:val="sr-Cyrl-RS"/>
              </w:rPr>
              <w:t>компетенције</w:t>
            </w:r>
            <w:r>
              <w:t>). Презентација и анализа истих</w:t>
            </w:r>
            <w:r w:rsidR="001062FD">
              <w:rPr>
                <w:lang w:val="sr-Cyrl-RS"/>
              </w:rPr>
              <w:t xml:space="preserve"> у групи и индивидуално.</w:t>
            </w:r>
            <w:r w:rsidR="00CD47CF">
              <w:rPr>
                <w:lang w:val="sr-Cyrl-RS"/>
              </w:rPr>
              <w:t xml:space="preserve"> Симулација часа/секвенце часа.</w:t>
            </w:r>
          </w:p>
        </w:tc>
      </w:tr>
      <w:tr w:rsidR="00CB34F2" w14:paraId="5CCE6C18" w14:textId="77777777" w:rsidTr="00695CBF">
        <w:tc>
          <w:tcPr>
            <w:tcW w:w="9719" w:type="dxa"/>
            <w:gridSpan w:val="8"/>
          </w:tcPr>
          <w:p w14:paraId="0CB37CFB" w14:textId="18A6A57D" w:rsidR="00CB34F2" w:rsidRPr="00333EB6" w:rsidRDefault="0028512C">
            <w:pPr>
              <w:widowControl/>
              <w:jc w:val="both"/>
              <w:rPr>
                <w:lang w:val="sr-Cyrl-RS"/>
              </w:rPr>
            </w:pPr>
            <w:r>
              <w:rPr>
                <w:b/>
              </w:rPr>
              <w:t>Литература:</w:t>
            </w:r>
            <w:r>
              <w:t xml:space="preserve"> 1.</w:t>
            </w:r>
            <w:r w:rsidR="00F142B0">
              <w:rPr>
                <w:lang w:val="sr-Cyrl-RS"/>
              </w:rPr>
              <w:t xml:space="preserve"> </w:t>
            </w:r>
            <w:r>
              <w:t>Fernstudieneinheiten „Deutsch als Fremdsprache und Germanistik“, Goethe Institut. Berlin: Langenscheidt (релевантне свеске: 5, 17, 12, 20, 1, 22). 2. Bimmel, P.,</w:t>
            </w:r>
            <w:r w:rsidR="00F142B0">
              <w:rPr>
                <w:lang w:val="sr-Cyrl-RS"/>
              </w:rPr>
              <w:t xml:space="preserve"> </w:t>
            </w:r>
            <w:r>
              <w:t xml:space="preserve">Kast, B. i G. Neuner. </w:t>
            </w:r>
            <w:r>
              <w:rPr>
                <w:i/>
              </w:rPr>
              <w:t>Arbeit mit Lehrwerklektion</w:t>
            </w:r>
            <w:r>
              <w:t xml:space="preserve">. München: Langenscheidt, 1997. 3. Häussermann, U. i H.-E. Piepho. </w:t>
            </w:r>
            <w:r>
              <w:rPr>
                <w:i/>
              </w:rPr>
              <w:t>Aufgaben-Handbuch Deutsch als Fremdsprache: Abriß einer Aufgaben- und Übungstypologie</w:t>
            </w:r>
            <w:r>
              <w:t xml:space="preserve">. München: iudicium, 1996. </w:t>
            </w:r>
            <w:r w:rsidR="00F142B0">
              <w:rPr>
                <w:lang w:val="sr-Cyrl-RS"/>
              </w:rPr>
              <w:t>4</w:t>
            </w:r>
            <w:r>
              <w:t>.</w:t>
            </w:r>
            <w:r w:rsidR="005B5E67">
              <w:rPr>
                <w:lang w:val="de-DE"/>
              </w:rPr>
              <w:t xml:space="preserve"> </w:t>
            </w:r>
            <w:r>
              <w:t xml:space="preserve">Klafki, Wolfgang. </w:t>
            </w:r>
            <w:r>
              <w:rPr>
                <w:i/>
                <w:color w:val="252525"/>
              </w:rPr>
              <w:t>Didaktische Analyse als Kern der Unterrichtsvorbereitung</w:t>
            </w:r>
            <w:r>
              <w:rPr>
                <w:color w:val="252525"/>
              </w:rPr>
              <w:t xml:space="preserve">. In: Die deutsche Schule 1958, </w:t>
            </w:r>
            <w:r w:rsidR="00F142B0">
              <w:rPr>
                <w:lang w:val="sr-Cyrl-RS"/>
              </w:rPr>
              <w:t>5</w:t>
            </w:r>
            <w:r>
              <w:t xml:space="preserve">. Ziebell, B. </w:t>
            </w:r>
            <w:r>
              <w:rPr>
                <w:i/>
              </w:rPr>
              <w:t>Unterrichtsbeobachtung und Lehrerverhalten</w:t>
            </w:r>
            <w:r>
              <w:t>. Berlin etc.: Langenscheidt, 2002.</w:t>
            </w:r>
            <w:r w:rsidRPr="00333EB6">
              <w:rPr>
                <w:bCs/>
              </w:rPr>
              <w:t xml:space="preserve">  </w:t>
            </w:r>
            <w:r w:rsidR="00333EB6" w:rsidRPr="00333EB6">
              <w:rPr>
                <w:bCs/>
                <w:highlight w:val="yellow"/>
                <w:lang w:val="sr-Cyrl-RS"/>
              </w:rPr>
              <w:t xml:space="preserve">6. </w:t>
            </w:r>
            <w:r w:rsidR="00333EB6" w:rsidRPr="00333EB6">
              <w:rPr>
                <w:bCs/>
                <w:highlight w:val="yellow"/>
                <w:lang w:val="en-US"/>
              </w:rPr>
              <w:t xml:space="preserve">DLL </w:t>
            </w:r>
            <w:r w:rsidR="00333EB6" w:rsidRPr="00333EB6">
              <w:rPr>
                <w:bCs/>
                <w:highlight w:val="yellow"/>
                <w:lang w:val="sr-Cyrl-RS"/>
              </w:rPr>
              <w:t>-</w:t>
            </w:r>
            <w:r w:rsidR="00333EB6" w:rsidRPr="00333EB6">
              <w:rPr>
                <w:bCs/>
                <w:highlight w:val="yellow"/>
                <w:lang w:val="en-US"/>
              </w:rPr>
              <w:t xml:space="preserve"> </w:t>
            </w:r>
            <w:r w:rsidR="00333EB6" w:rsidRPr="00333EB6">
              <w:rPr>
                <w:bCs/>
                <w:highlight w:val="yellow"/>
                <w:lang w:val="sr-Cyrl-RS"/>
              </w:rPr>
              <w:t>релевантне свеске</w:t>
            </w:r>
            <w:r w:rsidR="00333EB6">
              <w:rPr>
                <w:b/>
                <w:lang w:val="sr-Cyrl-RS"/>
              </w:rPr>
              <w:t xml:space="preserve"> </w:t>
            </w:r>
          </w:p>
        </w:tc>
      </w:tr>
      <w:tr w:rsidR="00CB34F2" w14:paraId="514C9CBF" w14:textId="77777777" w:rsidTr="00695CBF">
        <w:tc>
          <w:tcPr>
            <w:tcW w:w="8014" w:type="dxa"/>
            <w:gridSpan w:val="6"/>
          </w:tcPr>
          <w:p w14:paraId="7615B66C" w14:textId="77777777" w:rsidR="00CB34F2" w:rsidRDefault="0028512C">
            <w:pPr>
              <w:jc w:val="center"/>
            </w:pPr>
            <w:r>
              <w:rPr>
                <w:b/>
              </w:rPr>
              <w:t>Број часова  активне наставе</w:t>
            </w:r>
          </w:p>
        </w:tc>
        <w:tc>
          <w:tcPr>
            <w:tcW w:w="1705" w:type="dxa"/>
            <w:gridSpan w:val="2"/>
            <w:vMerge w:val="restart"/>
          </w:tcPr>
          <w:p w14:paraId="3A04480B" w14:textId="77777777" w:rsidR="00CB34F2" w:rsidRDefault="0028512C">
            <w:r>
              <w:t>Остали часови</w:t>
            </w:r>
          </w:p>
        </w:tc>
      </w:tr>
      <w:tr w:rsidR="00CB34F2" w14:paraId="354D31CB" w14:textId="77777777" w:rsidTr="009F49C9">
        <w:tc>
          <w:tcPr>
            <w:tcW w:w="1559" w:type="dxa"/>
          </w:tcPr>
          <w:p w14:paraId="0326218F" w14:textId="75ED510B" w:rsidR="00CB34F2" w:rsidRPr="001F5E82" w:rsidRDefault="0028512C">
            <w:pPr>
              <w:rPr>
                <w:lang w:val="sr-Cyrl-RS"/>
              </w:rPr>
            </w:pPr>
            <w:r>
              <w:t xml:space="preserve">Предавања:  </w:t>
            </w:r>
            <w:r w:rsidR="001F5E82">
              <w:rPr>
                <w:b/>
                <w:lang w:val="sr-Cyrl-RS"/>
              </w:rPr>
              <w:t>2</w:t>
            </w:r>
          </w:p>
        </w:tc>
        <w:tc>
          <w:tcPr>
            <w:tcW w:w="2756" w:type="dxa"/>
          </w:tcPr>
          <w:p w14:paraId="68E21A14" w14:textId="65FD9156" w:rsidR="00695CBF" w:rsidRPr="00333EB6" w:rsidRDefault="0028512C">
            <w:pPr>
              <w:rPr>
                <w:b/>
                <w:bCs/>
              </w:rPr>
            </w:pPr>
            <w:r w:rsidRPr="00333EB6">
              <w:rPr>
                <w:b/>
                <w:bCs/>
              </w:rPr>
              <w:t>Вежбе:  2</w:t>
            </w:r>
          </w:p>
        </w:tc>
        <w:tc>
          <w:tcPr>
            <w:tcW w:w="1710" w:type="dxa"/>
            <w:gridSpan w:val="2"/>
          </w:tcPr>
          <w:p w14:paraId="450F54C6" w14:textId="28A54675" w:rsidR="00CB34F2" w:rsidRDefault="0028512C">
            <w:r>
              <w:t xml:space="preserve">Други облици наставе: </w:t>
            </w:r>
          </w:p>
        </w:tc>
        <w:tc>
          <w:tcPr>
            <w:tcW w:w="1989" w:type="dxa"/>
            <w:gridSpan w:val="2"/>
          </w:tcPr>
          <w:p w14:paraId="783402CC" w14:textId="77777777" w:rsidR="00CB34F2" w:rsidRDefault="0028512C">
            <w:r>
              <w:t>Студијски истраживачки рад:</w:t>
            </w:r>
          </w:p>
        </w:tc>
        <w:tc>
          <w:tcPr>
            <w:tcW w:w="1705" w:type="dxa"/>
            <w:gridSpan w:val="2"/>
            <w:vMerge/>
          </w:tcPr>
          <w:p w14:paraId="7E5C4843" w14:textId="77777777" w:rsidR="00CB34F2" w:rsidRDefault="00CB34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B34F2" w14:paraId="4BB997F9" w14:textId="77777777" w:rsidTr="00695CBF">
        <w:tc>
          <w:tcPr>
            <w:tcW w:w="9719" w:type="dxa"/>
            <w:gridSpan w:val="8"/>
          </w:tcPr>
          <w:p w14:paraId="6D7C1189" w14:textId="6CFDE7B6" w:rsidR="00CB34F2" w:rsidRPr="00CD47CF" w:rsidRDefault="0028512C">
            <w:pPr>
              <w:jc w:val="both"/>
              <w:rPr>
                <w:lang w:val="sr-Cyrl-RS"/>
              </w:rPr>
            </w:pPr>
            <w:r>
              <w:rPr>
                <w:b/>
              </w:rPr>
              <w:t xml:space="preserve">Методе извођења наставе: </w:t>
            </w:r>
            <w:r>
              <w:t xml:space="preserve">Усмено излагање. Дискусија. Писање </w:t>
            </w:r>
            <w:r w:rsidR="009F49C9">
              <w:rPr>
                <w:lang w:val="sr-Cyrl-RS"/>
              </w:rPr>
              <w:t xml:space="preserve">разноврсних </w:t>
            </w:r>
            <w:r>
              <w:t>припрема за наставу (</w:t>
            </w:r>
            <w:r w:rsidR="00CD47CF">
              <w:rPr>
                <w:lang w:val="sr-Cyrl-RS"/>
              </w:rPr>
              <w:t xml:space="preserve">индивидуално, </w:t>
            </w:r>
            <w:r>
              <w:t>у пару или групи). Презентација припрем</w:t>
            </w:r>
            <w:r w:rsidR="00ED292F">
              <w:rPr>
                <w:lang w:val="sr-Cyrl-RS"/>
              </w:rPr>
              <w:t>е</w:t>
            </w:r>
            <w:r>
              <w:t xml:space="preserve"> и плана часа</w:t>
            </w:r>
            <w:r w:rsidR="00CD47CF">
              <w:rPr>
                <w:lang w:val="sr-Cyrl-RS"/>
              </w:rPr>
              <w:t>, симулација наставе.</w:t>
            </w:r>
          </w:p>
        </w:tc>
      </w:tr>
      <w:tr w:rsidR="00CB34F2" w14:paraId="139465B2" w14:textId="77777777" w:rsidTr="00695CBF">
        <w:tc>
          <w:tcPr>
            <w:tcW w:w="9719" w:type="dxa"/>
            <w:gridSpan w:val="8"/>
          </w:tcPr>
          <w:p w14:paraId="2A08182E" w14:textId="77777777" w:rsidR="00CB34F2" w:rsidRDefault="0028512C">
            <w:pPr>
              <w:jc w:val="center"/>
            </w:pPr>
            <w:r>
              <w:rPr>
                <w:b/>
              </w:rPr>
              <w:t>Оцена  знања (максимални број поена 100)</w:t>
            </w:r>
          </w:p>
        </w:tc>
      </w:tr>
      <w:tr w:rsidR="00CB34F2" w14:paraId="43D27397" w14:textId="77777777" w:rsidTr="00695CBF">
        <w:tc>
          <w:tcPr>
            <w:tcW w:w="5102" w:type="dxa"/>
            <w:gridSpan w:val="3"/>
          </w:tcPr>
          <w:p w14:paraId="3F0E0DFE" w14:textId="77777777" w:rsidR="00CB34F2" w:rsidRDefault="0028512C">
            <w:r>
              <w:rPr>
                <w:b/>
              </w:rPr>
              <w:t>Предиспитне обавезе</w:t>
            </w:r>
          </w:p>
        </w:tc>
        <w:tc>
          <w:tcPr>
            <w:tcW w:w="1418" w:type="dxa"/>
            <w:gridSpan w:val="2"/>
          </w:tcPr>
          <w:p w14:paraId="193BA92F" w14:textId="77777777" w:rsidR="00CB34F2" w:rsidRDefault="0028512C">
            <w:r>
              <w:rPr>
                <w:b/>
              </w:rPr>
              <w:t>поена</w:t>
            </w:r>
          </w:p>
        </w:tc>
        <w:tc>
          <w:tcPr>
            <w:tcW w:w="2410" w:type="dxa"/>
            <w:gridSpan w:val="2"/>
          </w:tcPr>
          <w:p w14:paraId="20D636BC" w14:textId="77777777" w:rsidR="00CB34F2" w:rsidRDefault="0028512C">
            <w:r>
              <w:t xml:space="preserve">Завршни испит </w:t>
            </w:r>
          </w:p>
        </w:tc>
        <w:tc>
          <w:tcPr>
            <w:tcW w:w="789" w:type="dxa"/>
          </w:tcPr>
          <w:p w14:paraId="54FE88C9" w14:textId="77777777" w:rsidR="00CB34F2" w:rsidRDefault="0028512C">
            <w:r>
              <w:rPr>
                <w:b/>
              </w:rPr>
              <w:t>поена</w:t>
            </w:r>
          </w:p>
        </w:tc>
      </w:tr>
      <w:tr w:rsidR="00333EB6" w14:paraId="79ECF12D" w14:textId="77777777" w:rsidTr="00695CBF">
        <w:tc>
          <w:tcPr>
            <w:tcW w:w="5102" w:type="dxa"/>
            <w:gridSpan w:val="3"/>
          </w:tcPr>
          <w:p w14:paraId="7BA94942" w14:textId="24E1425D" w:rsidR="00333EB6" w:rsidRPr="006877F6" w:rsidRDefault="00333EB6" w:rsidP="00333EB6">
            <w:pPr>
              <w:rPr>
                <w:lang w:val="sr-Cyrl-RS"/>
              </w:rPr>
            </w:pPr>
            <w:r>
              <w:t>Презентација п</w:t>
            </w:r>
            <w:r>
              <w:rPr>
                <w:lang w:val="sr-Cyrl-RS"/>
              </w:rPr>
              <w:t xml:space="preserve">исаних припрема за </w:t>
            </w:r>
            <w:r>
              <w:t>час</w:t>
            </w:r>
            <w:r>
              <w:rPr>
                <w:lang w:val="sr-Cyrl-RS"/>
              </w:rPr>
              <w:t>ове</w:t>
            </w:r>
          </w:p>
        </w:tc>
        <w:tc>
          <w:tcPr>
            <w:tcW w:w="1418" w:type="dxa"/>
            <w:gridSpan w:val="2"/>
          </w:tcPr>
          <w:p w14:paraId="286C6E47" w14:textId="75A756AF" w:rsidR="00333EB6" w:rsidRPr="006877F6" w:rsidRDefault="00333EB6" w:rsidP="00333EB6">
            <w:pPr>
              <w:rPr>
                <w:lang w:val="sr-Cyrl-RS"/>
              </w:rPr>
            </w:pPr>
            <w:r>
              <w:rPr>
                <w:b/>
                <w:lang w:val="sr-Cyrl-RS"/>
              </w:rPr>
              <w:t>30</w:t>
            </w:r>
          </w:p>
        </w:tc>
        <w:tc>
          <w:tcPr>
            <w:tcW w:w="2410" w:type="dxa"/>
            <w:gridSpan w:val="2"/>
          </w:tcPr>
          <w:p w14:paraId="62CF52A9" w14:textId="6D002302" w:rsidR="00333EB6" w:rsidRPr="006877F6" w:rsidRDefault="00333EB6" w:rsidP="00333EB6">
            <w:pPr>
              <w:rPr>
                <w:color w:val="FF0000"/>
              </w:rPr>
            </w:pPr>
            <w:r>
              <w:rPr>
                <w:lang w:val="sr-Cyrl-RS"/>
              </w:rPr>
              <w:t>Писмени</w:t>
            </w:r>
            <w:r>
              <w:t xml:space="preserve"> испит (провера теоретских знања)</w:t>
            </w:r>
          </w:p>
        </w:tc>
        <w:tc>
          <w:tcPr>
            <w:tcW w:w="789" w:type="dxa"/>
          </w:tcPr>
          <w:p w14:paraId="46A3186D" w14:textId="394BE7FB" w:rsidR="00333EB6" w:rsidRPr="006877F6" w:rsidRDefault="00333EB6" w:rsidP="00333EB6">
            <w:pPr>
              <w:rPr>
                <w:color w:val="FF0000"/>
              </w:rPr>
            </w:pPr>
            <w:r>
              <w:rPr>
                <w:b/>
                <w:lang w:val="sr-Cyrl-RS"/>
              </w:rPr>
              <w:t>50</w:t>
            </w:r>
          </w:p>
        </w:tc>
      </w:tr>
      <w:tr w:rsidR="00333EB6" w14:paraId="39B2719B" w14:textId="77777777" w:rsidTr="00695CBF">
        <w:tc>
          <w:tcPr>
            <w:tcW w:w="5102" w:type="dxa"/>
            <w:gridSpan w:val="3"/>
          </w:tcPr>
          <w:p w14:paraId="11ED348D" w14:textId="2E9EA252" w:rsidR="00333EB6" w:rsidRPr="00333EB6" w:rsidRDefault="00333EB6" w:rsidP="00333EB6">
            <w:r w:rsidRPr="00333EB6">
              <w:t>Презентација/симулација</w:t>
            </w:r>
          </w:p>
        </w:tc>
        <w:tc>
          <w:tcPr>
            <w:tcW w:w="1418" w:type="dxa"/>
            <w:gridSpan w:val="2"/>
          </w:tcPr>
          <w:p w14:paraId="5405B999" w14:textId="16C5EA86" w:rsidR="00333EB6" w:rsidRPr="00333EB6" w:rsidRDefault="00333EB6" w:rsidP="00333EB6">
            <w:r w:rsidRPr="00333EB6">
              <w:rPr>
                <w:b/>
              </w:rPr>
              <w:t>20</w:t>
            </w:r>
          </w:p>
        </w:tc>
        <w:tc>
          <w:tcPr>
            <w:tcW w:w="2410" w:type="dxa"/>
            <w:gridSpan w:val="2"/>
          </w:tcPr>
          <w:p w14:paraId="7AADFB25" w14:textId="5969CF44" w:rsidR="00333EB6" w:rsidRDefault="00333EB6" w:rsidP="00333EB6"/>
        </w:tc>
        <w:tc>
          <w:tcPr>
            <w:tcW w:w="789" w:type="dxa"/>
          </w:tcPr>
          <w:p w14:paraId="7F88AF1A" w14:textId="300F6386" w:rsidR="00333EB6" w:rsidRPr="006877F6" w:rsidRDefault="00333EB6" w:rsidP="00333EB6">
            <w:pPr>
              <w:rPr>
                <w:lang w:val="sr-Cyrl-RS"/>
              </w:rPr>
            </w:pPr>
          </w:p>
        </w:tc>
      </w:tr>
    </w:tbl>
    <w:p w14:paraId="0DBD1636" w14:textId="77777777" w:rsidR="00CB34F2" w:rsidRDefault="00CB34F2"/>
    <w:sectPr w:rsidR="00CB34F2">
      <w:headerReference w:type="default" r:id="rId7"/>
      <w:footerReference w:type="default" r:id="rId8"/>
      <w:pgSz w:w="11907" w:h="16840"/>
      <w:pgMar w:top="1134" w:right="851" w:bottom="1134" w:left="1418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CB4622" w14:textId="77777777" w:rsidR="00ED7439" w:rsidRDefault="00ED7439">
      <w:r>
        <w:separator/>
      </w:r>
    </w:p>
  </w:endnote>
  <w:endnote w:type="continuationSeparator" w:id="0">
    <w:p w14:paraId="57B915E3" w14:textId="77777777" w:rsidR="00ED7439" w:rsidRDefault="00ED7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245D7" w14:textId="77777777" w:rsidR="00CB34F2" w:rsidRDefault="00ED743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hyperlink r:id="rId1">
      <w:r w:rsidR="0028512C">
        <w:rPr>
          <w:color w:val="0000FF"/>
          <w:u w:val="single"/>
        </w:rPr>
        <w:t>www.filfak.ni.ac.rs</w:t>
      </w:r>
    </w:hyperlink>
  </w:p>
  <w:p w14:paraId="6EFE0BF0" w14:textId="77777777" w:rsidR="00CB34F2" w:rsidRDefault="00CB34F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5F7630" w14:textId="77777777" w:rsidR="00ED7439" w:rsidRDefault="00ED7439">
      <w:r>
        <w:separator/>
      </w:r>
    </w:p>
  </w:footnote>
  <w:footnote w:type="continuationSeparator" w:id="0">
    <w:p w14:paraId="310C0272" w14:textId="77777777" w:rsidR="00ED7439" w:rsidRDefault="00ED7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81064E" w14:textId="77777777" w:rsidR="00CB34F2" w:rsidRDefault="0028512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515"/>
      <w:gridCol w:w="6533"/>
      <w:gridCol w:w="1610"/>
    </w:tblGrid>
    <w:tr w:rsidR="00CB34F2" w14:paraId="2DBB4DC7" w14:textId="77777777">
      <w:trPr>
        <w:trHeight w:val="360"/>
        <w:jc w:val="center"/>
      </w:trPr>
      <w:tc>
        <w:tcPr>
          <w:tcW w:w="1515" w:type="dxa"/>
          <w:vMerge w:val="restart"/>
          <w:shd w:val="clear" w:color="auto" w:fill="auto"/>
        </w:tcPr>
        <w:p w14:paraId="73DBD000" w14:textId="77777777" w:rsidR="00CB34F2" w:rsidRDefault="0028512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3D65ABF3" wp14:editId="008257E2">
                <wp:simplePos x="0" y="0"/>
                <wp:positionH relativeFrom="column">
                  <wp:posOffset>-8253</wp:posOffset>
                </wp:positionH>
                <wp:positionV relativeFrom="paragraph">
                  <wp:posOffset>38735</wp:posOffset>
                </wp:positionV>
                <wp:extent cx="805815" cy="789940"/>
                <wp:effectExtent l="0" t="0" r="0" b="0"/>
                <wp:wrapNone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5815" cy="7899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33" w:type="dxa"/>
          <w:shd w:val="clear" w:color="auto" w:fill="FFFFFF"/>
          <w:vAlign w:val="center"/>
        </w:tcPr>
        <w:p w14:paraId="52C77EE5" w14:textId="77777777" w:rsidR="00CB34F2" w:rsidRDefault="0028512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2"/>
              <w:szCs w:val="22"/>
            </w:rPr>
          </w:pPr>
          <w:r>
            <w:rPr>
              <w:b/>
              <w:color w:val="333399"/>
              <w:sz w:val="22"/>
              <w:szCs w:val="22"/>
            </w:rPr>
            <w:t>Универзитет у Нишу</w:t>
          </w:r>
        </w:p>
        <w:p w14:paraId="4A5BEA70" w14:textId="77777777" w:rsidR="00CB34F2" w:rsidRDefault="0028512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2"/>
              <w:szCs w:val="22"/>
            </w:rPr>
          </w:pPr>
          <w:r>
            <w:rPr>
              <w:b/>
              <w:color w:val="333399"/>
              <w:sz w:val="22"/>
              <w:szCs w:val="22"/>
            </w:rPr>
            <w:t>Филозофски факултет</w:t>
          </w:r>
        </w:p>
      </w:tc>
      <w:tc>
        <w:tcPr>
          <w:tcW w:w="1610" w:type="dxa"/>
          <w:vMerge w:val="restart"/>
        </w:tcPr>
        <w:p w14:paraId="433D9CF5" w14:textId="77777777" w:rsidR="00CB34F2" w:rsidRDefault="0028512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23721AF9" wp14:editId="6B8179D4">
                <wp:simplePos x="0" y="0"/>
                <wp:positionH relativeFrom="column">
                  <wp:posOffset>46356</wp:posOffset>
                </wp:positionH>
                <wp:positionV relativeFrom="paragraph">
                  <wp:posOffset>38735</wp:posOffset>
                </wp:positionV>
                <wp:extent cx="791210" cy="787400"/>
                <wp:effectExtent l="0" t="0" r="0" b="0"/>
                <wp:wrapNone/>
                <wp:docPr id="2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1210" cy="7874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  <w:tr w:rsidR="00CB34F2" w14:paraId="6CAA0495" w14:textId="77777777">
      <w:trPr>
        <w:trHeight w:val="460"/>
        <w:jc w:val="center"/>
      </w:trPr>
      <w:tc>
        <w:tcPr>
          <w:tcW w:w="1515" w:type="dxa"/>
          <w:vMerge/>
          <w:shd w:val="clear" w:color="auto" w:fill="auto"/>
        </w:tcPr>
        <w:p w14:paraId="05A39EEB" w14:textId="77777777" w:rsidR="00CB34F2" w:rsidRDefault="00CB34F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533" w:type="dxa"/>
          <w:shd w:val="clear" w:color="auto" w:fill="E6E6E6"/>
          <w:vAlign w:val="center"/>
        </w:tcPr>
        <w:p w14:paraId="711445C1" w14:textId="77777777" w:rsidR="00CB34F2" w:rsidRDefault="0028512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2"/>
              <w:szCs w:val="22"/>
            </w:rPr>
          </w:pPr>
          <w:r>
            <w:rPr>
              <w:b/>
              <w:color w:val="333399"/>
              <w:sz w:val="22"/>
              <w:szCs w:val="22"/>
            </w:rPr>
            <w:t>Акредитација студијског програма</w:t>
          </w:r>
        </w:p>
      </w:tc>
      <w:tc>
        <w:tcPr>
          <w:tcW w:w="1610" w:type="dxa"/>
          <w:vMerge/>
        </w:tcPr>
        <w:p w14:paraId="31C4F9A5" w14:textId="77777777" w:rsidR="00CB34F2" w:rsidRDefault="00CB34F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2"/>
              <w:szCs w:val="22"/>
            </w:rPr>
          </w:pPr>
        </w:p>
      </w:tc>
    </w:tr>
    <w:tr w:rsidR="00CB34F2" w14:paraId="4562F3CE" w14:textId="77777777">
      <w:trPr>
        <w:trHeight w:val="520"/>
        <w:jc w:val="center"/>
      </w:trPr>
      <w:tc>
        <w:tcPr>
          <w:tcW w:w="1515" w:type="dxa"/>
          <w:vMerge/>
          <w:shd w:val="clear" w:color="auto" w:fill="auto"/>
        </w:tcPr>
        <w:p w14:paraId="517EB992" w14:textId="77777777" w:rsidR="00CB34F2" w:rsidRDefault="00CB34F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2"/>
              <w:szCs w:val="22"/>
            </w:rPr>
          </w:pPr>
        </w:p>
      </w:tc>
      <w:tc>
        <w:tcPr>
          <w:tcW w:w="6533" w:type="dxa"/>
          <w:shd w:val="clear" w:color="auto" w:fill="FFFFFF"/>
          <w:vAlign w:val="center"/>
        </w:tcPr>
        <w:p w14:paraId="3087DBE5" w14:textId="1CAAE4FE" w:rsidR="00CB34F2" w:rsidRPr="001F5E82" w:rsidRDefault="0028512C" w:rsidP="001F5E8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2"/>
              <w:szCs w:val="22"/>
            </w:rPr>
          </w:pPr>
          <w:r>
            <w:rPr>
              <w:b/>
              <w:color w:val="333399"/>
              <w:sz w:val="22"/>
              <w:szCs w:val="22"/>
            </w:rPr>
            <w:t>Немачки језик и књижевност</w:t>
          </w:r>
          <w:r w:rsidR="001F5E82">
            <w:rPr>
              <w:b/>
              <w:color w:val="333399"/>
              <w:sz w:val="22"/>
              <w:szCs w:val="22"/>
              <w:lang w:val="sr-Cyrl-RS"/>
            </w:rPr>
            <w:t xml:space="preserve"> (ОАС)</w:t>
          </w:r>
        </w:p>
      </w:tc>
      <w:tc>
        <w:tcPr>
          <w:tcW w:w="1610" w:type="dxa"/>
          <w:vMerge/>
        </w:tcPr>
        <w:p w14:paraId="670BA918" w14:textId="77777777" w:rsidR="00CB34F2" w:rsidRDefault="00CB34F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2"/>
              <w:szCs w:val="22"/>
            </w:rPr>
          </w:pPr>
        </w:p>
      </w:tc>
    </w:tr>
  </w:tbl>
  <w:p w14:paraId="003009DF" w14:textId="77777777" w:rsidR="00CB34F2" w:rsidRDefault="0028512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4F2"/>
    <w:rsid w:val="000A1852"/>
    <w:rsid w:val="000C1745"/>
    <w:rsid w:val="001062FD"/>
    <w:rsid w:val="00196899"/>
    <w:rsid w:val="001F5E82"/>
    <w:rsid w:val="0028512C"/>
    <w:rsid w:val="002C5C0A"/>
    <w:rsid w:val="00333EB6"/>
    <w:rsid w:val="004525C5"/>
    <w:rsid w:val="0047063D"/>
    <w:rsid w:val="004A199A"/>
    <w:rsid w:val="00520016"/>
    <w:rsid w:val="00594110"/>
    <w:rsid w:val="005B5E67"/>
    <w:rsid w:val="0064098B"/>
    <w:rsid w:val="006877F6"/>
    <w:rsid w:val="00695CBF"/>
    <w:rsid w:val="00707968"/>
    <w:rsid w:val="009202C0"/>
    <w:rsid w:val="009F49C9"/>
    <w:rsid w:val="00A22F19"/>
    <w:rsid w:val="00A86509"/>
    <w:rsid w:val="00AA51A1"/>
    <w:rsid w:val="00C70AFB"/>
    <w:rsid w:val="00CA3AF0"/>
    <w:rsid w:val="00CB34F2"/>
    <w:rsid w:val="00CD47CF"/>
    <w:rsid w:val="00D51949"/>
    <w:rsid w:val="00DC73F5"/>
    <w:rsid w:val="00E31AA7"/>
    <w:rsid w:val="00ED292F"/>
    <w:rsid w:val="00ED7439"/>
    <w:rsid w:val="00F142B0"/>
    <w:rsid w:val="00F70E39"/>
    <w:rsid w:val="00FB4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35706"/>
  <w15:docId w15:val="{D40AE260-D636-4E42-B869-F9EDBA0C9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Cyrl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1F5E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5E82"/>
  </w:style>
  <w:style w:type="paragraph" w:styleId="Footer">
    <w:name w:val="footer"/>
    <w:basedOn w:val="Normal"/>
    <w:link w:val="FooterChar"/>
    <w:uiPriority w:val="99"/>
    <w:unhideWhenUsed/>
    <w:rsid w:val="001F5E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ilfak.ni.ac.r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8EE940-3BAD-40AB-A0E5-F44882AD6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23</cp:revision>
  <dcterms:created xsi:type="dcterms:W3CDTF">2024-07-02T11:58:00Z</dcterms:created>
  <dcterms:modified xsi:type="dcterms:W3CDTF">2024-09-12T07:17:00Z</dcterms:modified>
</cp:coreProperties>
</file>